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04" w:rsidRPr="005E5098" w:rsidRDefault="00C15604" w:rsidP="00C15604">
      <w:pPr>
        <w:spacing w:after="0" w:line="260" w:lineRule="atLeast"/>
        <w:jc w:val="center"/>
        <w:rPr>
          <w:rFonts w:ascii="Times New Roman" w:eastAsia="Times New Roman" w:hAnsi="Times New Roman" w:cs="Angsana New"/>
          <w:szCs w:val="22"/>
          <w:lang w:val="en-US"/>
        </w:rPr>
      </w:pPr>
      <w:bookmarkStart w:id="0" w:name="_GoBack"/>
      <w:bookmarkEnd w:id="0"/>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92D72" w:rsidRPr="00BD26B5" w:rsidRDefault="00C92D72" w:rsidP="00C92D72">
      <w:pPr>
        <w:pStyle w:val="BodyText"/>
        <w:spacing w:after="0"/>
        <w:jc w:val="center"/>
        <w:rPr>
          <w:rFonts w:cs="Times New Roman"/>
          <w:b/>
          <w:bCs/>
          <w:sz w:val="40"/>
          <w:szCs w:val="40"/>
          <w:lang w:bidi="ar-SA"/>
        </w:rPr>
      </w:pPr>
      <w:r w:rsidRPr="00BD26B5">
        <w:rPr>
          <w:rFonts w:cs="Times New Roman"/>
          <w:b/>
          <w:bCs/>
          <w:sz w:val="40"/>
          <w:szCs w:val="40"/>
          <w:lang w:bidi="ar-SA"/>
        </w:rPr>
        <w:t>The International Engineering Public Company Limited</w:t>
      </w:r>
      <w:r w:rsidR="00102FA6">
        <w:rPr>
          <w:rFonts w:cs="Times New Roman"/>
          <w:b/>
          <w:bCs/>
          <w:sz w:val="40"/>
          <w:szCs w:val="40"/>
          <w:lang w:bidi="ar-SA"/>
        </w:rPr>
        <w:t xml:space="preserve"> </w:t>
      </w:r>
      <w:r w:rsidRPr="00BD26B5">
        <w:rPr>
          <w:rFonts w:cs="Times New Roman"/>
          <w:b/>
          <w:bCs/>
          <w:sz w:val="40"/>
          <w:szCs w:val="40"/>
          <w:lang w:bidi="ar-SA"/>
        </w:rPr>
        <w:t>and its Subsidiaries</w:t>
      </w: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rPr>
      </w:pP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cs/>
        </w:rPr>
      </w:pP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Interim financial statements</w:t>
      </w:r>
    </w:p>
    <w:p w:rsidR="00ED2B66" w:rsidRDefault="00C15604"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for the three-month period ended</w:t>
      </w:r>
    </w:p>
    <w:p w:rsidR="00C15604" w:rsidRPr="00ED2B66" w:rsidRDefault="00C15604"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31 March 20</w:t>
      </w:r>
      <w:r w:rsidR="00C50AAC">
        <w:rPr>
          <w:rFonts w:ascii="Times New Roman" w:eastAsia="Times New Roman" w:hAnsi="Times New Roman" w:cs="Times New Roman"/>
          <w:spacing w:val="-3"/>
          <w:sz w:val="36"/>
          <w:szCs w:val="36"/>
          <w:lang w:bidi="ar-SA"/>
        </w:rPr>
        <w:t>21</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and</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Independent auditor’s report</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on review of interim financial information</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sectPr w:rsidR="00C15604" w:rsidRPr="00BD26B5" w:rsidSect="00BF4C37">
          <w:footerReference w:type="even" r:id="rId7"/>
          <w:footerReference w:type="default" r:id="rId8"/>
          <w:headerReference w:type="first" r:id="rId9"/>
          <w:pgSz w:w="11900" w:h="16840" w:code="9"/>
          <w:pgMar w:top="1440" w:right="720" w:bottom="720" w:left="1728" w:header="720" w:footer="720" w:gutter="0"/>
          <w:pgNumType w:start="8"/>
          <w:cols w:space="0"/>
          <w:noEndnote/>
        </w:sectPr>
      </w:pP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rPr>
          <w:rFonts w:ascii="Times New Roman" w:eastAsia="Times New Roman" w:hAnsi="Times New Roman" w:cs="Angsana New"/>
          <w:b/>
          <w:bCs/>
          <w:spacing w:val="-2"/>
          <w:sz w:val="28"/>
        </w:rPr>
      </w:pPr>
      <w:r w:rsidRPr="00BD26B5">
        <w:rPr>
          <w:rFonts w:ascii="Times New Roman" w:eastAsia="Times New Roman" w:hAnsi="Times New Roman" w:cs="Angsana New"/>
          <w:b/>
          <w:bCs/>
          <w:spacing w:val="-2"/>
          <w:sz w:val="28"/>
        </w:rPr>
        <w:t>Independent Auditor’s Report on Review of Interim Financial Information</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tabs>
          <w:tab w:val="left" w:pos="8640"/>
        </w:tabs>
        <w:spacing w:after="0" w:line="260" w:lineRule="atLeast"/>
        <w:jc w:val="both"/>
        <w:rPr>
          <w:rFonts w:ascii="Times New Roman" w:eastAsia="Times New Roman" w:hAnsi="Times New Roman" w:cs="Angsana New"/>
          <w:b/>
          <w:bCs/>
          <w:sz w:val="24"/>
          <w:szCs w:val="24"/>
        </w:rPr>
      </w:pPr>
      <w:r w:rsidRPr="00BD26B5">
        <w:rPr>
          <w:rFonts w:ascii="Times New Roman" w:eastAsia="Times New Roman" w:hAnsi="Times New Roman" w:cs="Angsana New"/>
          <w:b/>
          <w:bCs/>
          <w:sz w:val="24"/>
          <w:szCs w:val="24"/>
        </w:rPr>
        <w:t xml:space="preserve">To the Board of Directors of </w:t>
      </w:r>
      <w:r w:rsidR="00ED27AB" w:rsidRPr="00BD26B5">
        <w:rPr>
          <w:rFonts w:ascii="Times New Roman" w:eastAsia="Times New Roman" w:hAnsi="Times New Roman" w:cs="Angsana New"/>
          <w:b/>
          <w:bCs/>
          <w:sz w:val="24"/>
          <w:szCs w:val="24"/>
        </w:rPr>
        <w:t>The International Engineering Public Company Limited</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have reviewed the accompanying consolidated and separate statements of financial position of </w:t>
      </w:r>
      <w:r w:rsidR="00C92D72" w:rsidRPr="00BD26B5">
        <w:rPr>
          <w:rFonts w:ascii="Times New Roman" w:eastAsia="Times New Roman" w:hAnsi="Times New Roman" w:cs="Angsana New"/>
          <w:szCs w:val="22"/>
        </w:rPr>
        <w:t>The International Engineering Public Company Limited and its subsidiaries</w:t>
      </w:r>
      <w:r w:rsidRPr="00BD26B5">
        <w:rPr>
          <w:rFonts w:ascii="Times New Roman" w:eastAsia="Times New Roman" w:hAnsi="Times New Roman" w:cs="Angsana New"/>
          <w:szCs w:val="22"/>
        </w:rPr>
        <w:t xml:space="preserve">, </w:t>
      </w:r>
      <w:r w:rsidR="00C92D72" w:rsidRPr="00BD26B5">
        <w:rPr>
          <w:rFonts w:ascii="Times New Roman" w:eastAsia="Times New Roman" w:hAnsi="Times New Roman" w:cs="Angsana New"/>
          <w:szCs w:val="22"/>
        </w:rPr>
        <w:t>and of The International Engineering Public Company Limited</w:t>
      </w:r>
      <w:r w:rsidRPr="00BD26B5">
        <w:rPr>
          <w:rFonts w:ascii="Times New Roman" w:eastAsia="Times New Roman" w:hAnsi="Times New Roman" w:cs="Angsana New"/>
          <w:szCs w:val="22"/>
        </w:rPr>
        <w:t>, r</w:t>
      </w:r>
      <w:r w:rsidR="00C50AAC">
        <w:rPr>
          <w:rFonts w:ascii="Times New Roman" w:eastAsia="Times New Roman" w:hAnsi="Times New Roman" w:cs="Angsana New"/>
          <w:szCs w:val="22"/>
        </w:rPr>
        <w:t>espectively, as at 31 March 2021</w:t>
      </w:r>
      <w:r w:rsidRPr="00BD26B5">
        <w:rPr>
          <w:rFonts w:ascii="Times New Roman" w:eastAsia="Times New Roman" w:hAnsi="Times New Roman" w:cs="Angsana New"/>
          <w:szCs w:val="22"/>
        </w:rPr>
        <w:t>, and the consolidated and separate statements of comprehensive income, changes in equity and cash flows for the three-</w:t>
      </w:r>
      <w:r w:rsidR="008F420D" w:rsidRPr="00BD26B5">
        <w:rPr>
          <w:rFonts w:ascii="Times New Roman" w:eastAsia="Times New Roman" w:hAnsi="Times New Roman" w:cs="Angsana New"/>
          <w:szCs w:val="22"/>
        </w:rPr>
        <w:t>month</w:t>
      </w:r>
      <w:r w:rsidR="00C50AAC">
        <w:rPr>
          <w:rFonts w:ascii="Times New Roman" w:eastAsia="Times New Roman" w:hAnsi="Times New Roman" w:cs="Angsana New"/>
          <w:szCs w:val="22"/>
        </w:rPr>
        <w:t xml:space="preserve"> period ended 31 March 2021</w:t>
      </w:r>
      <w:r w:rsidRPr="00BD26B5">
        <w:rPr>
          <w:rFonts w:ascii="Times New Roman" w:eastAsia="Times New Roman" w:hAnsi="Times New Roman" w:cs="Angsana New"/>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Scope of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conducted my review in accordance with the Thai Standard on Review Engagements 2410, “Review of Interim Financial Information Performed by the Independent Auditor of the Entity”.  A review of interim financial </w:t>
      </w:r>
      <w:proofErr w:type="spellStart"/>
      <w:r w:rsidRPr="00BD26B5">
        <w:rPr>
          <w:rFonts w:ascii="Times New Roman" w:eastAsia="Times New Roman" w:hAnsi="Times New Roman" w:cs="Angsana New"/>
          <w:szCs w:val="22"/>
        </w:rPr>
        <w:t>informations</w:t>
      </w:r>
      <w:proofErr w:type="spellEnd"/>
      <w:r w:rsidRPr="00BD26B5">
        <w:rPr>
          <w:rFonts w:ascii="Times New Roman" w:eastAsia="Times New Roman" w:hAnsi="Times New Roman" w:cs="Angsana New"/>
          <w:szCs w:val="22"/>
        </w:rPr>
        <w:t xml:space="preserve">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C15604" w:rsidRPr="00BD26B5" w:rsidRDefault="00C15604" w:rsidP="00C15604">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Conclusion</w:t>
      </w:r>
    </w:p>
    <w:p w:rsidR="007D74C7" w:rsidRPr="00BD26B5" w:rsidRDefault="007D74C7" w:rsidP="007D74C7">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7D74C7" w:rsidRPr="00BD26B5" w:rsidRDefault="007D74C7" w:rsidP="00C15604">
      <w:pPr>
        <w:spacing w:after="0" w:line="260" w:lineRule="atLeast"/>
        <w:ind w:right="452"/>
        <w:jc w:val="both"/>
        <w:outlineLvl w:val="0"/>
        <w:rPr>
          <w:rFonts w:ascii="Times New Roman" w:eastAsia="Times New Roman" w:hAnsi="Times New Roman" w:cs="Angsana New"/>
          <w:i/>
          <w:iCs/>
          <w:szCs w:val="22"/>
        </w:rPr>
      </w:pPr>
    </w:p>
    <w:p w:rsidR="00C15604" w:rsidRDefault="00C15604" w:rsidP="00C15604">
      <w:pPr>
        <w:tabs>
          <w:tab w:val="left" w:pos="360"/>
        </w:tabs>
        <w:spacing w:after="0" w:line="240" w:lineRule="auto"/>
        <w:jc w:val="thaiDistribute"/>
        <w:rPr>
          <w:rFonts w:ascii="Times New Roman" w:eastAsia="Times New Roman" w:hAnsi="Times New Roman" w:cs="Angsana New"/>
        </w:rPr>
      </w:pPr>
    </w:p>
    <w:p w:rsidR="00102FA6" w:rsidRPr="00BD26B5" w:rsidRDefault="00102FA6" w:rsidP="00C15604">
      <w:pPr>
        <w:tabs>
          <w:tab w:val="left" w:pos="360"/>
        </w:tabs>
        <w:spacing w:after="0" w:line="240" w:lineRule="auto"/>
        <w:jc w:val="thaiDistribute"/>
        <w:rPr>
          <w:rFonts w:ascii="Times New Roman" w:eastAsia="Times New Roman" w:hAnsi="Times New Roman" w:cs="Angsana New"/>
        </w:rPr>
      </w:pPr>
    </w:p>
    <w:p w:rsidR="00C92D72" w:rsidRPr="00BD26B5" w:rsidRDefault="00C92D72" w:rsidP="00C92D72">
      <w:pPr>
        <w:tabs>
          <w:tab w:val="left" w:pos="5760"/>
        </w:tabs>
        <w:jc w:val="both"/>
        <w:rPr>
          <w:rFonts w:cs="Times New Roman"/>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(Chaikrit Warakitjaporn)</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Certified Public Accountant</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Registration Number 7326</w:t>
      </w:r>
    </w:p>
    <w:p w:rsidR="00C92D72" w:rsidRPr="00BD26B5" w:rsidRDefault="00C92D72" w:rsidP="00C92D72">
      <w:pPr>
        <w:spacing w:after="0" w:line="240" w:lineRule="atLeast"/>
        <w:jc w:val="thaiDistribute"/>
        <w:rPr>
          <w:rFonts w:ascii="Times New Roman" w:eastAsia="Times New Roman" w:hAnsi="Times New Roman" w:cs="Angsana New"/>
          <w:szCs w:val="22"/>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NPS Siam Audit Limited</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Bangkok</w:t>
      </w:r>
    </w:p>
    <w:p w:rsidR="001E7B0F" w:rsidRPr="00016459" w:rsidRDefault="003C5CF6" w:rsidP="001E7B0F">
      <w:pPr>
        <w:spacing w:after="0" w:line="240" w:lineRule="atLeast"/>
        <w:jc w:val="thaiDistribute"/>
        <w:rPr>
          <w:rFonts w:ascii="Times New Roman" w:eastAsia="Times New Roman" w:hAnsi="Times New Roman" w:cs="Angsana New"/>
          <w:szCs w:val="22"/>
        </w:rPr>
      </w:pPr>
      <w:r>
        <w:rPr>
          <w:rFonts w:ascii="Times New Roman" w:eastAsia="Times New Roman" w:hAnsi="Times New Roman" w:cs="Angsana New"/>
          <w:szCs w:val="22"/>
        </w:rPr>
        <w:t xml:space="preserve">17 </w:t>
      </w:r>
      <w:r w:rsidR="00C50AAC">
        <w:rPr>
          <w:rFonts w:ascii="Times New Roman" w:eastAsia="Times New Roman" w:hAnsi="Times New Roman" w:cs="Angsana New"/>
          <w:szCs w:val="22"/>
          <w:lang w:val="en-US"/>
        </w:rPr>
        <w:t>May 2021</w:t>
      </w:r>
    </w:p>
    <w:p w:rsidR="0081255C" w:rsidRDefault="0081255C"/>
    <w:sectPr w:rsidR="0081255C" w:rsidSect="00BF4C37">
      <w:headerReference w:type="default" r:id="rId10"/>
      <w:footerReference w:type="default" r:id="rId11"/>
      <w:pgSz w:w="11900" w:h="16840" w:code="9"/>
      <w:pgMar w:top="1440" w:right="1268" w:bottom="1135" w:left="1620" w:header="720" w:footer="720" w:gutter="0"/>
      <w:pgNumType w:start="1"/>
      <w:cols w:space="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B66" w:rsidRDefault="00ED2B66" w:rsidP="00D76978">
      <w:pPr>
        <w:spacing w:after="0" w:line="240" w:lineRule="auto"/>
      </w:pPr>
      <w:r>
        <w:separator/>
      </w:r>
    </w:p>
  </w:endnote>
  <w:endnote w:type="continuationSeparator" w:id="0">
    <w:p w:rsidR="00ED2B66" w:rsidRDefault="00ED2B66" w:rsidP="00D76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B4274A">
    <w:pPr>
      <w:pStyle w:val="Footer"/>
      <w:framePr w:wrap="around" w:vAnchor="text" w:hAnchor="margin" w:xAlign="right" w:y="1"/>
      <w:rPr>
        <w:rStyle w:val="PageNumber"/>
      </w:rPr>
    </w:pPr>
    <w:r>
      <w:rPr>
        <w:rStyle w:val="PageNumber"/>
      </w:rPr>
      <w:fldChar w:fldCharType="begin"/>
    </w:r>
    <w:r w:rsidR="00ED2B66">
      <w:rPr>
        <w:rStyle w:val="PageNumber"/>
      </w:rPr>
      <w:instrText xml:space="preserve">PAGE  </w:instrText>
    </w:r>
    <w:r>
      <w:rPr>
        <w:rStyle w:val="PageNumber"/>
      </w:rPr>
      <w:fldChar w:fldCharType="separate"/>
    </w:r>
    <w:r w:rsidR="00ED2B66">
      <w:rPr>
        <w:rStyle w:val="PageNumber"/>
        <w:noProof/>
      </w:rPr>
      <w:t>8</w:t>
    </w:r>
    <w:r>
      <w:rPr>
        <w:rStyle w:val="PageNumber"/>
      </w:rPr>
      <w:fldChar w:fldCharType="end"/>
    </w:r>
  </w:p>
  <w:p w:rsidR="00ED2B66" w:rsidRDefault="00ED2B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ED2B66">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E566FD" w:rsidRDefault="00B4274A">
    <w:pPr>
      <w:pStyle w:val="Footer"/>
      <w:jc w:val="right"/>
      <w:rPr>
        <w:rFonts w:ascii="Times New Roman" w:hAnsi="Times New Roman" w:cs="Times New Roman"/>
        <w:szCs w:val="22"/>
      </w:rPr>
    </w:pPr>
    <w:r w:rsidRPr="00E566FD">
      <w:rPr>
        <w:rFonts w:ascii="Times New Roman" w:hAnsi="Times New Roman" w:cs="Times New Roman"/>
        <w:szCs w:val="22"/>
      </w:rPr>
      <w:fldChar w:fldCharType="begin"/>
    </w:r>
    <w:r w:rsidR="00ED2B66" w:rsidRPr="00E566FD">
      <w:rPr>
        <w:rFonts w:ascii="Times New Roman" w:hAnsi="Times New Roman" w:cs="Times New Roman"/>
        <w:szCs w:val="22"/>
      </w:rPr>
      <w:instrText xml:space="preserve"> PAGE   \* MERGEFORMAT </w:instrText>
    </w:r>
    <w:r w:rsidRPr="00E566FD">
      <w:rPr>
        <w:rFonts w:ascii="Times New Roman" w:hAnsi="Times New Roman" w:cs="Times New Roman"/>
        <w:szCs w:val="22"/>
      </w:rPr>
      <w:fldChar w:fldCharType="separate"/>
    </w:r>
    <w:r w:rsidR="00C50AAC">
      <w:rPr>
        <w:rFonts w:ascii="Times New Roman" w:hAnsi="Times New Roman" w:cs="Times New Roman"/>
        <w:noProof/>
        <w:szCs w:val="22"/>
      </w:rPr>
      <w:t>2</w:t>
    </w:r>
    <w:r w:rsidRPr="00E566FD">
      <w:rPr>
        <w:rFonts w:ascii="Times New Roman" w:hAnsi="Times New Roman" w:cs="Times New Roman"/>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B66" w:rsidRDefault="00ED2B66" w:rsidP="00D76978">
      <w:pPr>
        <w:spacing w:after="0" w:line="240" w:lineRule="auto"/>
      </w:pPr>
      <w:r>
        <w:separator/>
      </w:r>
    </w:p>
  </w:footnote>
  <w:footnote w:type="continuationSeparator" w:id="0">
    <w:p w:rsidR="00ED2B66" w:rsidRDefault="00ED2B66" w:rsidP="00D769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6B409E" w:rsidRDefault="00ED2B66" w:rsidP="006B409E">
    <w:pPr>
      <w:tabs>
        <w:tab w:val="center" w:pos="4320"/>
        <w:tab w:val="right" w:pos="8640"/>
      </w:tabs>
      <w:spacing w:after="0" w:line="240" w:lineRule="auto"/>
      <w:rPr>
        <w:rFonts w:ascii="Times New Roman" w:eastAsia="Times New Roman" w:hAnsi="Times New Roman" w:cs="Angsana New"/>
        <w:b/>
        <w:bCs/>
        <w:sz w:val="40"/>
        <w:szCs w:val="40"/>
        <w:lang w:bidi="ar-SA"/>
      </w:rPr>
    </w:pPr>
  </w:p>
  <w:p w:rsidR="00ED2B66" w:rsidRPr="006B409E" w:rsidRDefault="00ED2B66" w:rsidP="006B409E">
    <w:pPr>
      <w:tabs>
        <w:tab w:val="left" w:pos="1080"/>
        <w:tab w:val="left" w:pos="4320"/>
        <w:tab w:val="right" w:pos="8640"/>
        <w:tab w:val="right" w:pos="9180"/>
      </w:tabs>
      <w:spacing w:before="240" w:after="0" w:line="240" w:lineRule="auto"/>
      <w:rPr>
        <w:rFonts w:ascii="Tahoma" w:eastAsia="Times New Roman" w:hAnsi="Tahoma" w:cs="Tahoma"/>
        <w:b/>
        <w:bCs/>
        <w:sz w:val="18"/>
        <w:szCs w:val="18"/>
        <w:lang w:bidi="ar-SA"/>
      </w:rPr>
    </w:pPr>
  </w:p>
  <w:p w:rsidR="00ED2B66" w:rsidRPr="006B409E" w:rsidRDefault="00ED2B66" w:rsidP="006B409E">
    <w:pPr>
      <w:tabs>
        <w:tab w:val="left" w:pos="1080"/>
        <w:tab w:val="left" w:pos="4320"/>
        <w:tab w:val="left" w:pos="7200"/>
        <w:tab w:val="right" w:pos="8640"/>
        <w:tab w:val="right" w:pos="9630"/>
      </w:tabs>
      <w:spacing w:before="120" w:after="0" w:line="240" w:lineRule="auto"/>
      <w:ind w:right="-1324"/>
      <w:rPr>
        <w:rFonts w:ascii="Tahoma" w:eastAsia="Times New Roman" w:hAnsi="Tahoma" w:cs="Tahoma"/>
        <w:sz w:val="18"/>
        <w:szCs w:val="18"/>
        <w:lang w:bidi="ar-SA"/>
      </w:rPr>
    </w:pPr>
  </w:p>
  <w:p w:rsidR="00ED2B66" w:rsidRPr="006B409E" w:rsidRDefault="00ED2B66" w:rsidP="006B409E">
    <w:pPr>
      <w:tabs>
        <w:tab w:val="left" w:pos="1080"/>
        <w:tab w:val="left" w:pos="4320"/>
        <w:tab w:val="left" w:pos="7200"/>
        <w:tab w:val="right" w:pos="8640"/>
        <w:tab w:val="right" w:pos="9360"/>
      </w:tabs>
      <w:spacing w:after="0" w:line="240" w:lineRule="auto"/>
      <w:ind w:right="-1054"/>
      <w:rPr>
        <w:rFonts w:ascii="Tahoma" w:eastAsia="Times New Roman" w:hAnsi="Tahoma" w:cs="Tahoma"/>
        <w:sz w:val="18"/>
        <w:szCs w:val="18"/>
        <w:lang w:bidi="ar-SA"/>
      </w:rPr>
    </w:pPr>
  </w:p>
  <w:p w:rsidR="00ED2B66" w:rsidRPr="006B409E" w:rsidRDefault="00ED2B66" w:rsidP="00772D23">
    <w:pPr>
      <w:tabs>
        <w:tab w:val="left" w:pos="1080"/>
        <w:tab w:val="left" w:pos="4320"/>
        <w:tab w:val="left" w:pos="7200"/>
        <w:tab w:val="right" w:pos="8640"/>
        <w:tab w:val="right" w:pos="9810"/>
      </w:tabs>
      <w:spacing w:after="0" w:line="240" w:lineRule="auto"/>
      <w:ind w:right="-1504"/>
      <w:rPr>
        <w:rFonts w:ascii="Tahoma" w:eastAsia="Times New Roman" w:hAnsi="Tahoma" w:cs="Tahoma"/>
        <w:sz w:val="18"/>
        <w:szCs w:val="18"/>
        <w:lang w:bidi="ar-SA"/>
      </w:rPr>
    </w:pPr>
  </w:p>
  <w:p w:rsidR="00ED2B66" w:rsidRPr="006B409E" w:rsidRDefault="00ED2B66" w:rsidP="006B409E">
    <w:pPr>
      <w:tabs>
        <w:tab w:val="left" w:pos="1080"/>
        <w:tab w:val="left" w:pos="4320"/>
        <w:tab w:val="right" w:pos="8640"/>
        <w:tab w:val="right" w:pos="8820"/>
      </w:tabs>
      <w:spacing w:after="0" w:line="240" w:lineRule="auto"/>
      <w:rPr>
        <w:rFonts w:ascii="Tahoma" w:eastAsia="Times New Roman" w:hAnsi="Tahoma" w:cs="Tahoma"/>
        <w:sz w:val="18"/>
        <w:szCs w:val="18"/>
        <w:lang w:bidi="ar-SA"/>
      </w:rPr>
    </w:pPr>
  </w:p>
  <w:p w:rsidR="00ED2B66" w:rsidRPr="009854D2" w:rsidRDefault="00ED2B66" w:rsidP="00BF4C37">
    <w:pPr>
      <w:pStyle w:val="Header"/>
      <w:rPr>
        <w:rFonts w:cs="Angsana New"/>
        <w: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6B409E" w:rsidRDefault="00ED2B66" w:rsidP="00BF4C37">
    <w:pPr>
      <w:pStyle w:val="Header"/>
      <w:rPr>
        <w:rFonts w:ascii="Times New Roman" w:hAnsi="Times New Roman" w:cs="Times New Roman"/>
        <w:b/>
        <w:bCs/>
        <w:sz w:val="24"/>
        <w:szCs w:val="24"/>
        <w:cs/>
      </w:rPr>
    </w:pPr>
    <w:r w:rsidRPr="006B409E">
      <w:rPr>
        <w:rFonts w:ascii="Times New Roman" w:hAnsi="Times New Roman" w:cs="Times New Roman"/>
        <w:b/>
        <w:bCs/>
        <w:sz w:val="24"/>
        <w:szCs w:val="24"/>
      </w:rPr>
      <w:t>NPS Siam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12C13"/>
    <w:multiLevelType w:val="hybridMultilevel"/>
    <w:tmpl w:val="9B70AD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957BE7"/>
    <w:multiLevelType w:val="hybridMultilevel"/>
    <w:tmpl w:val="68AC2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801ADD"/>
    <w:multiLevelType w:val="hybridMultilevel"/>
    <w:tmpl w:val="91307BFC"/>
    <w:lvl w:ilvl="0" w:tplc="5AA4C32C">
      <w:start w:val="600"/>
      <w:numFmt w:val="bullet"/>
      <w:lvlText w:val="-"/>
      <w:lvlJc w:val="left"/>
      <w:pPr>
        <w:ind w:left="1260" w:hanging="360"/>
      </w:pPr>
      <w:rPr>
        <w:rFonts w:ascii="Times New Roman" w:eastAsia="Cordia New" w:hAnsi="Times New Roman" w:cs="Times New Roman" w:hint="default"/>
      </w:rPr>
    </w:lvl>
    <w:lvl w:ilvl="1" w:tplc="04090019" w:tentative="1">
      <w:start w:val="1"/>
      <w:numFmt w:val="bullet"/>
      <w:lvlText w:val="o"/>
      <w:lvlJc w:val="left"/>
      <w:pPr>
        <w:ind w:left="1980" w:hanging="360"/>
      </w:pPr>
      <w:rPr>
        <w:rFonts w:ascii="Courier New" w:hAnsi="Courier New" w:cs="Courier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1" w:cryptProviderType="rsaFull" w:cryptAlgorithmClass="hash" w:cryptAlgorithmType="typeAny" w:cryptAlgorithmSid="4" w:cryptSpinCount="100000" w:hash="2hoZfiCvbQypnWZDtPauEk3llmU=" w:salt="eWeCvYKir6mLrIDd3Wk1PA=="/>
  <w:defaultTabStop w:val="720"/>
  <w:characterSpacingControl w:val="doNotCompress"/>
  <w:footnotePr>
    <w:footnote w:id="-1"/>
    <w:footnote w:id="0"/>
  </w:footnotePr>
  <w:endnotePr>
    <w:endnote w:id="-1"/>
    <w:endnote w:id="0"/>
  </w:endnotePr>
  <w:compat>
    <w:applyBreakingRules/>
    <w:useFELayout/>
  </w:compat>
  <w:rsids>
    <w:rsidRoot w:val="00C15604"/>
    <w:rsid w:val="00016459"/>
    <w:rsid w:val="00024C63"/>
    <w:rsid w:val="00050AC0"/>
    <w:rsid w:val="000A52F1"/>
    <w:rsid w:val="000C6B91"/>
    <w:rsid w:val="000E2054"/>
    <w:rsid w:val="00102FA6"/>
    <w:rsid w:val="001378D9"/>
    <w:rsid w:val="00144711"/>
    <w:rsid w:val="00157F1C"/>
    <w:rsid w:val="001A0E96"/>
    <w:rsid w:val="001D2994"/>
    <w:rsid w:val="001E7855"/>
    <w:rsid w:val="001E7B0F"/>
    <w:rsid w:val="00206DB8"/>
    <w:rsid w:val="00225EF9"/>
    <w:rsid w:val="00252A5F"/>
    <w:rsid w:val="00277DED"/>
    <w:rsid w:val="00285101"/>
    <w:rsid w:val="002874C8"/>
    <w:rsid w:val="002C7060"/>
    <w:rsid w:val="002E2D91"/>
    <w:rsid w:val="002E4FEE"/>
    <w:rsid w:val="00321008"/>
    <w:rsid w:val="00322500"/>
    <w:rsid w:val="00332C3F"/>
    <w:rsid w:val="00372653"/>
    <w:rsid w:val="003849CF"/>
    <w:rsid w:val="003C5CF6"/>
    <w:rsid w:val="00413095"/>
    <w:rsid w:val="00413297"/>
    <w:rsid w:val="0049379E"/>
    <w:rsid w:val="0049450D"/>
    <w:rsid w:val="004B68CC"/>
    <w:rsid w:val="004C5856"/>
    <w:rsid w:val="005068C3"/>
    <w:rsid w:val="00507EB6"/>
    <w:rsid w:val="005142C2"/>
    <w:rsid w:val="005633B1"/>
    <w:rsid w:val="0059354B"/>
    <w:rsid w:val="005942F4"/>
    <w:rsid w:val="005C204E"/>
    <w:rsid w:val="005E5098"/>
    <w:rsid w:val="005F0013"/>
    <w:rsid w:val="00617E91"/>
    <w:rsid w:val="006941C2"/>
    <w:rsid w:val="006A2CDC"/>
    <w:rsid w:val="006B409E"/>
    <w:rsid w:val="006C7402"/>
    <w:rsid w:val="006E47AE"/>
    <w:rsid w:val="006F2124"/>
    <w:rsid w:val="006F2530"/>
    <w:rsid w:val="006F7887"/>
    <w:rsid w:val="007020F6"/>
    <w:rsid w:val="00734AD4"/>
    <w:rsid w:val="00761214"/>
    <w:rsid w:val="00772D23"/>
    <w:rsid w:val="007D74C7"/>
    <w:rsid w:val="0081255C"/>
    <w:rsid w:val="008128AF"/>
    <w:rsid w:val="00813C06"/>
    <w:rsid w:val="00833614"/>
    <w:rsid w:val="008919E6"/>
    <w:rsid w:val="008A689D"/>
    <w:rsid w:val="008B4B33"/>
    <w:rsid w:val="008C4629"/>
    <w:rsid w:val="008E2ACF"/>
    <w:rsid w:val="008F420D"/>
    <w:rsid w:val="008F7202"/>
    <w:rsid w:val="00923851"/>
    <w:rsid w:val="009D4025"/>
    <w:rsid w:val="009E5493"/>
    <w:rsid w:val="00A53115"/>
    <w:rsid w:val="00A75487"/>
    <w:rsid w:val="00AA45B2"/>
    <w:rsid w:val="00AC20D1"/>
    <w:rsid w:val="00AE2F01"/>
    <w:rsid w:val="00B061EF"/>
    <w:rsid w:val="00B128AC"/>
    <w:rsid w:val="00B41324"/>
    <w:rsid w:val="00B4274A"/>
    <w:rsid w:val="00B450AA"/>
    <w:rsid w:val="00B56048"/>
    <w:rsid w:val="00BC799B"/>
    <w:rsid w:val="00BD26B5"/>
    <w:rsid w:val="00BF4C37"/>
    <w:rsid w:val="00C10DFF"/>
    <w:rsid w:val="00C14B2E"/>
    <w:rsid w:val="00C1526B"/>
    <w:rsid w:val="00C15604"/>
    <w:rsid w:val="00C1782F"/>
    <w:rsid w:val="00C50AAC"/>
    <w:rsid w:val="00C54E96"/>
    <w:rsid w:val="00C56D8F"/>
    <w:rsid w:val="00C64033"/>
    <w:rsid w:val="00C65E28"/>
    <w:rsid w:val="00C92D72"/>
    <w:rsid w:val="00CD0954"/>
    <w:rsid w:val="00CF7032"/>
    <w:rsid w:val="00D76978"/>
    <w:rsid w:val="00D8216A"/>
    <w:rsid w:val="00D85442"/>
    <w:rsid w:val="00D85580"/>
    <w:rsid w:val="00D91212"/>
    <w:rsid w:val="00D92DE0"/>
    <w:rsid w:val="00D9406B"/>
    <w:rsid w:val="00DC61DA"/>
    <w:rsid w:val="00DE10B6"/>
    <w:rsid w:val="00E10081"/>
    <w:rsid w:val="00E23DD9"/>
    <w:rsid w:val="00E347A5"/>
    <w:rsid w:val="00E4515A"/>
    <w:rsid w:val="00E533F4"/>
    <w:rsid w:val="00E566FD"/>
    <w:rsid w:val="00EA17A3"/>
    <w:rsid w:val="00ED27AB"/>
    <w:rsid w:val="00ED2B66"/>
    <w:rsid w:val="00F02B51"/>
    <w:rsid w:val="00F3056A"/>
    <w:rsid w:val="00F55399"/>
    <w:rsid w:val="00F82D3C"/>
    <w:rsid w:val="00F902A7"/>
    <w:rsid w:val="00FA2D0A"/>
    <w:rsid w:val="00FB0458"/>
    <w:rsid w:val="00FD7EC5"/>
    <w:rsid w:val="00FE0BC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1920</Characters>
  <Application>Microsoft Office Word</Application>
  <DocSecurity>8</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4</cp:revision>
  <cp:lastPrinted>2019-05-13T09:41:00Z</cp:lastPrinted>
  <dcterms:created xsi:type="dcterms:W3CDTF">2021-05-27T11:20:00Z</dcterms:created>
  <dcterms:modified xsi:type="dcterms:W3CDTF">2021-05-27T11:22:00Z</dcterms:modified>
</cp:coreProperties>
</file>